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07625816" w:rsidR="008F0809" w:rsidRPr="00987097" w:rsidRDefault="007B361C" w:rsidP="007B361C">
      <w:pPr>
        <w:pStyle w:val="Overskrift1"/>
      </w:pPr>
      <w:r>
        <w:t xml:space="preserve"> </w:t>
      </w:r>
      <w:r>
        <w:tab/>
        <w:t>Mineralske råstoffer</w:t>
      </w:r>
    </w:p>
    <w:p w14:paraId="64F48D9D" w14:textId="7E46A5CD" w:rsidR="007B361C" w:rsidRPr="007B361C" w:rsidRDefault="00B27704" w:rsidP="007B361C">
      <w:pPr>
        <w:pStyle w:val="Overskrift2"/>
        <w:spacing w:before="0"/>
      </w:pPr>
      <w:r>
        <w:t xml:space="preserve"> </w:t>
      </w:r>
      <w:r>
        <w:tab/>
      </w:r>
      <w:r w:rsidR="007B361C" w:rsidRPr="007B361C">
        <w:t>Mineralernes anvendelse</w:t>
      </w:r>
    </w:p>
    <w:p w14:paraId="14E9B500" w14:textId="77777777" w:rsidR="007B361C" w:rsidRPr="007B361C" w:rsidRDefault="007B361C" w:rsidP="007B361C">
      <w:pPr>
        <w:pStyle w:val="MainmainMAIN"/>
        <w:spacing w:after="0"/>
      </w:pPr>
      <w:r w:rsidRPr="007B361C">
        <w:rPr>
          <w:i/>
          <w:iCs/>
        </w:rPr>
        <w:t>Formål</w:t>
      </w:r>
    </w:p>
    <w:p w14:paraId="64D1893B" w14:textId="503E697C" w:rsidR="007B361C" w:rsidRDefault="007B361C" w:rsidP="007B361C">
      <w:pPr>
        <w:pStyle w:val="MainmainMAIN"/>
        <w:spacing w:after="0"/>
      </w:pPr>
      <w:r w:rsidRPr="007B361C">
        <w:t>At få et overblik over hvor og til hvad de mineralske råstoffer anvendes.</w:t>
      </w:r>
    </w:p>
    <w:p w14:paraId="0561A725" w14:textId="77777777" w:rsidR="007B361C" w:rsidRDefault="007B361C" w:rsidP="007B361C">
      <w:pPr>
        <w:pStyle w:val="MainmainMAIN"/>
        <w:spacing w:after="0"/>
      </w:pPr>
    </w:p>
    <w:p w14:paraId="558A7A2B" w14:textId="6631856A" w:rsidR="007B361C" w:rsidRDefault="007B361C" w:rsidP="007B361C">
      <w:pPr>
        <w:pStyle w:val="MainmainMAIN"/>
        <w:spacing w:after="0"/>
        <w:rPr>
          <w:i/>
          <w:iCs/>
        </w:rPr>
      </w:pPr>
      <w:r w:rsidRPr="007B361C">
        <w:rPr>
          <w:i/>
          <w:iCs/>
        </w:rPr>
        <w:t>Opgave</w:t>
      </w:r>
    </w:p>
    <w:p w14:paraId="126D7C4D" w14:textId="77777777" w:rsidR="00E82558" w:rsidRDefault="00E82558" w:rsidP="00E82558">
      <w:pPr>
        <w:pStyle w:val="MainmainMAIN"/>
        <w:spacing w:after="0"/>
      </w:pPr>
      <w:r w:rsidRPr="007B361C">
        <w:t>Forslag til bjergarter: skrivekridt, stenkul, granit, skifer, marmor</w:t>
      </w:r>
      <w:r>
        <w:t>.</w:t>
      </w:r>
    </w:p>
    <w:p w14:paraId="0D46458E" w14:textId="16831CC2" w:rsidR="00E82558" w:rsidRDefault="00E82558" w:rsidP="00E82558">
      <w:pPr>
        <w:pStyle w:val="MainmainMAIN"/>
        <w:spacing w:after="0"/>
      </w:pPr>
      <w:r>
        <w:t>F</w:t>
      </w:r>
      <w:r w:rsidRPr="007B361C">
        <w:t xml:space="preserve">orslag til mineraler: </w:t>
      </w:r>
      <w:proofErr w:type="spellStart"/>
      <w:r w:rsidRPr="007B361C">
        <w:t>sphalerit</w:t>
      </w:r>
      <w:proofErr w:type="spellEnd"/>
      <w:r w:rsidRPr="007B361C">
        <w:t>, blyglans/</w:t>
      </w:r>
      <w:proofErr w:type="spellStart"/>
      <w:r w:rsidRPr="007B361C">
        <w:t>galena</w:t>
      </w:r>
      <w:proofErr w:type="spellEnd"/>
      <w:r w:rsidRPr="007B361C">
        <w:t xml:space="preserve">, magnetit, </w:t>
      </w:r>
      <w:proofErr w:type="spellStart"/>
      <w:r w:rsidRPr="007B361C">
        <w:t>amfibol</w:t>
      </w:r>
      <w:proofErr w:type="spellEnd"/>
      <w:r w:rsidRPr="007B361C">
        <w:t xml:space="preserve">, kvarts, forskellige feldspat, calcit, talk, grafit, </w:t>
      </w:r>
      <w:proofErr w:type="spellStart"/>
      <w:r w:rsidRPr="007B361C">
        <w:t>olivin</w:t>
      </w:r>
      <w:proofErr w:type="spellEnd"/>
      <w:r>
        <w:t>.</w:t>
      </w:r>
    </w:p>
    <w:p w14:paraId="71923E50" w14:textId="77777777" w:rsidR="00E82558" w:rsidRPr="00E82558" w:rsidRDefault="00E82558" w:rsidP="007B361C">
      <w:pPr>
        <w:pStyle w:val="MainmainMAIN"/>
        <w:spacing w:after="0"/>
      </w:pPr>
    </w:p>
    <w:p w14:paraId="3C7DA661" w14:textId="595C9391" w:rsidR="007B361C" w:rsidRDefault="007B361C" w:rsidP="00B27704">
      <w:pPr>
        <w:pStyle w:val="MainmainMAIN"/>
        <w:numPr>
          <w:ilvl w:val="0"/>
          <w:numId w:val="19"/>
        </w:numPr>
        <w:spacing w:after="0"/>
      </w:pPr>
      <w:r w:rsidRPr="007B361C">
        <w:t>Undersøg skolens samling af bjergarter og mineraler. Diskutér hvilke af disse der bruges som råstoffer.</w:t>
      </w:r>
    </w:p>
    <w:p w14:paraId="490C9B0C" w14:textId="77777777" w:rsidR="00DC5F89" w:rsidRDefault="007B361C" w:rsidP="00B27704">
      <w:pPr>
        <w:pStyle w:val="MainmainMAIN"/>
        <w:numPr>
          <w:ilvl w:val="0"/>
          <w:numId w:val="19"/>
        </w:numPr>
        <w:spacing w:after="0"/>
      </w:pPr>
      <w:r w:rsidRPr="007B361C">
        <w:t xml:space="preserve">Opdel disse råstoffer i følgende tre grupper: </w:t>
      </w:r>
    </w:p>
    <w:p w14:paraId="71696AB5" w14:textId="77777777" w:rsidR="00DC5F89" w:rsidRDefault="007B361C" w:rsidP="00DC5F89">
      <w:pPr>
        <w:pStyle w:val="MainmainMAIN"/>
        <w:numPr>
          <w:ilvl w:val="1"/>
          <w:numId w:val="19"/>
        </w:numPr>
        <w:spacing w:after="0"/>
      </w:pPr>
      <w:r w:rsidRPr="007B361C">
        <w:t>hele bjergarten bruges</w:t>
      </w:r>
    </w:p>
    <w:p w14:paraId="37CC99C7" w14:textId="77777777" w:rsidR="00DC5F89" w:rsidRDefault="007B361C" w:rsidP="00DC5F89">
      <w:pPr>
        <w:pStyle w:val="MainmainMAIN"/>
        <w:numPr>
          <w:ilvl w:val="1"/>
          <w:numId w:val="19"/>
        </w:numPr>
        <w:spacing w:after="0"/>
      </w:pPr>
      <w:r w:rsidRPr="007B361C">
        <w:t>et af bjergartens mineraler bruges</w:t>
      </w:r>
    </w:p>
    <w:p w14:paraId="3B649A26" w14:textId="658EF151" w:rsidR="007B361C" w:rsidRPr="007B361C" w:rsidRDefault="007B361C" w:rsidP="00DC5F89">
      <w:pPr>
        <w:pStyle w:val="MainmainMAIN"/>
        <w:numPr>
          <w:ilvl w:val="1"/>
          <w:numId w:val="19"/>
        </w:numPr>
        <w:spacing w:after="0"/>
      </w:pPr>
      <w:r w:rsidRPr="007B361C">
        <w:t>3) et eller flere af mineralernes grundstoffer bruges. </w:t>
      </w:r>
    </w:p>
    <w:p w14:paraId="1D7A8583" w14:textId="77777777" w:rsidR="007B361C" w:rsidRPr="007B361C" w:rsidRDefault="007B361C" w:rsidP="00B27704">
      <w:pPr>
        <w:pStyle w:val="MainmainMAIN"/>
        <w:numPr>
          <w:ilvl w:val="0"/>
          <w:numId w:val="19"/>
        </w:numPr>
        <w:spacing w:after="0"/>
      </w:pPr>
      <w:r w:rsidRPr="007B361C">
        <w:t>Angiv på et kort hvilke lande disse råstoffer kunne stamme fra.</w:t>
      </w:r>
    </w:p>
    <w:p w14:paraId="66AFA838" w14:textId="77777777" w:rsidR="00BD45A4" w:rsidRDefault="007B361C" w:rsidP="00B27704">
      <w:pPr>
        <w:pStyle w:val="MainmainMAIN"/>
        <w:numPr>
          <w:ilvl w:val="0"/>
          <w:numId w:val="19"/>
        </w:numPr>
        <w:spacing w:after="0"/>
      </w:pPr>
      <w:r w:rsidRPr="007B361C">
        <w:t xml:space="preserve">Find den kemiske sammensætning for de mineraler, som typisk udgør en granit, og find ud af hvilke metaller der sidder i disse mineraler. </w:t>
      </w:r>
    </w:p>
    <w:p w14:paraId="51812B9C" w14:textId="341A1701" w:rsidR="00E82558" w:rsidRDefault="007B361C" w:rsidP="00825068">
      <w:pPr>
        <w:pStyle w:val="MainmainMAIN"/>
        <w:spacing w:after="0"/>
        <w:ind w:left="720"/>
      </w:pPr>
      <w:r w:rsidRPr="007B361C">
        <w:t>Som I vil finde ud af, findes mange af vores metaller i en almindelig granit, men de udvindes dog ikke fra granitter, men fra bjergarter hvor de er lettere at ekstrahere eller er i højere koncentration. </w:t>
      </w:r>
    </w:p>
    <w:p w14:paraId="30FAA989" w14:textId="77777777" w:rsidR="007B361C" w:rsidRPr="007B361C" w:rsidRDefault="007B361C" w:rsidP="007B361C">
      <w:pPr>
        <w:pStyle w:val="MainmainMAIN"/>
        <w:spacing w:after="0"/>
      </w:pPr>
      <w:r>
        <w:br/>
      </w:r>
    </w:p>
    <w:p w14:paraId="1B46CB1B" w14:textId="5138DA74" w:rsidR="007B361C" w:rsidRPr="00B27704" w:rsidRDefault="007B361C" w:rsidP="00B27704">
      <w:pPr>
        <w:pStyle w:val="Overskrift2"/>
        <w:spacing w:before="0"/>
      </w:pPr>
      <w:r w:rsidRPr="00B27704">
        <w:t>Øvelse i mineralbestemmelse</w:t>
      </w:r>
    </w:p>
    <w:p w14:paraId="05EA9897" w14:textId="77777777" w:rsidR="007B361C" w:rsidRPr="007B361C" w:rsidRDefault="007B361C" w:rsidP="007B361C">
      <w:pPr>
        <w:pStyle w:val="MainmainMAIN"/>
        <w:spacing w:after="0"/>
      </w:pPr>
      <w:r w:rsidRPr="00B27704">
        <w:rPr>
          <w:i/>
          <w:iCs/>
        </w:rPr>
        <w:t>Formål</w:t>
      </w:r>
    </w:p>
    <w:p w14:paraId="13EC7ACD" w14:textId="65FD6E11" w:rsidR="007B361C" w:rsidRDefault="007B361C" w:rsidP="007B361C">
      <w:pPr>
        <w:pStyle w:val="MainmainMAIN"/>
        <w:spacing w:after="0"/>
      </w:pPr>
      <w:r w:rsidRPr="007B361C">
        <w:t>At foretage en systematisk gennemgang af et minerals egenskaber for at kunne bestemme minerale</w:t>
      </w:r>
      <w:r w:rsidR="00825068">
        <w:t>t</w:t>
      </w:r>
      <w:r w:rsidRPr="007B361C">
        <w:t xml:space="preserve">. Der fås </w:t>
      </w:r>
      <w:r w:rsidR="00825068">
        <w:t>samtidig</w:t>
      </w:r>
      <w:r w:rsidRPr="007B361C">
        <w:t xml:space="preserve"> en fornemmelse for hvordan mineralerne har forskellige fysiske egenskaber. Til sidst skal vi vurdere hvilke mineraler, der kan have en økonomisk betydning, og dermed være et mineralsk råstof.</w:t>
      </w:r>
    </w:p>
    <w:p w14:paraId="5F8A24A1" w14:textId="77777777" w:rsidR="00B27704" w:rsidRDefault="00B27704" w:rsidP="007B361C">
      <w:pPr>
        <w:pStyle w:val="MainmainMAIN"/>
        <w:spacing w:after="0"/>
      </w:pPr>
    </w:p>
    <w:p w14:paraId="722FC8CF" w14:textId="77777777" w:rsidR="007B361C" w:rsidRPr="007B361C" w:rsidRDefault="007B361C" w:rsidP="007B361C">
      <w:pPr>
        <w:pStyle w:val="MainmainMAIN"/>
        <w:spacing w:after="0"/>
      </w:pPr>
      <w:r w:rsidRPr="00B27704">
        <w:rPr>
          <w:i/>
          <w:iCs/>
        </w:rPr>
        <w:t>Opgave</w:t>
      </w:r>
    </w:p>
    <w:p w14:paraId="2E37B233" w14:textId="77777777" w:rsidR="007B361C" w:rsidRDefault="007B361C" w:rsidP="007B361C">
      <w:pPr>
        <w:pStyle w:val="MainmainMAIN"/>
        <w:spacing w:after="0"/>
      </w:pPr>
      <w:r w:rsidRPr="007B361C">
        <w:t xml:space="preserve">Den teori som skal bruges for at kunne udføre øvelsen findes i Kapitel 18 </w:t>
      </w:r>
      <w:r w:rsidRPr="00923A7B">
        <w:rPr>
          <w:i/>
          <w:iCs/>
        </w:rPr>
        <w:t>Mineralske råstoffer</w:t>
      </w:r>
      <w:r w:rsidRPr="007B361C">
        <w:t>.</w:t>
      </w:r>
    </w:p>
    <w:p w14:paraId="50DC7C1E" w14:textId="02E7A994" w:rsidR="00B27704" w:rsidRDefault="00B27704" w:rsidP="007B361C">
      <w:pPr>
        <w:pStyle w:val="MainmainMAIN"/>
        <w:spacing w:after="0"/>
      </w:pPr>
    </w:p>
    <w:p w14:paraId="0C614B6A" w14:textId="77777777" w:rsidR="005356B7" w:rsidRDefault="005356B7" w:rsidP="007B361C">
      <w:pPr>
        <w:pStyle w:val="MainmainMAIN"/>
        <w:spacing w:after="0"/>
      </w:pPr>
    </w:p>
    <w:p w14:paraId="29BC11E4" w14:textId="51AC0F87" w:rsidR="007B361C" w:rsidRDefault="007B361C" w:rsidP="007B361C">
      <w:pPr>
        <w:pStyle w:val="MainmainMAIN"/>
        <w:spacing w:after="0"/>
      </w:pPr>
      <w:r w:rsidRPr="007B361C">
        <w:lastRenderedPageBreak/>
        <w:t>Fremgangsmåde:</w:t>
      </w:r>
    </w:p>
    <w:p w14:paraId="329AD8B1" w14:textId="77777777" w:rsidR="005356B7" w:rsidRDefault="007B361C" w:rsidP="00232168">
      <w:pPr>
        <w:pStyle w:val="MainmainMAIN"/>
        <w:numPr>
          <w:ilvl w:val="0"/>
          <w:numId w:val="22"/>
        </w:numPr>
        <w:spacing w:after="0"/>
      </w:pPr>
      <w:r w:rsidRPr="007B361C">
        <w:t xml:space="preserve">Bestem alle de fysiske egenskaber I kan for de udleverede mineraler og indsæt data i Tabel </w:t>
      </w:r>
      <w:r w:rsidR="005356B7">
        <w:t>18-</w:t>
      </w:r>
      <w:r w:rsidRPr="007B361C">
        <w:t xml:space="preserve">1. </w:t>
      </w:r>
    </w:p>
    <w:p w14:paraId="03DFC372" w14:textId="77777777" w:rsidR="005356B7" w:rsidRDefault="007B361C" w:rsidP="00232168">
      <w:pPr>
        <w:pStyle w:val="MainmainMAIN"/>
        <w:numPr>
          <w:ilvl w:val="0"/>
          <w:numId w:val="22"/>
        </w:numPr>
        <w:spacing w:after="0"/>
      </w:pPr>
      <w:r w:rsidRPr="007B361C">
        <w:t xml:space="preserve">Brug dernæst Figur 140 </w:t>
      </w:r>
      <w:r w:rsidRPr="00923A7B">
        <w:rPr>
          <w:i/>
          <w:iCs/>
        </w:rPr>
        <w:t>14 almindelige mineralers egenskaber</w:t>
      </w:r>
      <w:r w:rsidRPr="007B361C">
        <w:t xml:space="preserve"> til at bestemme mineralets navn. </w:t>
      </w:r>
    </w:p>
    <w:p w14:paraId="2F07169F" w14:textId="7977CC26" w:rsidR="007B361C" w:rsidRDefault="007B361C" w:rsidP="00232168">
      <w:pPr>
        <w:pStyle w:val="MainmainMAIN"/>
        <w:numPr>
          <w:ilvl w:val="0"/>
          <w:numId w:val="22"/>
        </w:numPr>
        <w:spacing w:after="0"/>
      </w:pPr>
      <w:r w:rsidRPr="007B361C">
        <w:t xml:space="preserve">Derefter kan du bestemme mineralets gruppe ved at bruge Figur 138 </w:t>
      </w:r>
      <w:r w:rsidRPr="00923A7B">
        <w:rPr>
          <w:i/>
          <w:iCs/>
        </w:rPr>
        <w:t>Klassifikation af mineraler</w:t>
      </w:r>
      <w:r w:rsidRPr="007B361C">
        <w:t>.</w:t>
      </w:r>
    </w:p>
    <w:p w14:paraId="311C6F28" w14:textId="5D12DF50" w:rsidR="00923A7B" w:rsidRPr="007B361C" w:rsidRDefault="00923A7B" w:rsidP="007B361C">
      <w:pPr>
        <w:pStyle w:val="MainmainMAIN"/>
        <w:spacing w:after="0"/>
      </w:pPr>
    </w:p>
    <w:tbl>
      <w:tblPr>
        <w:tblStyle w:val="Tabel-Gitter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1276"/>
        <w:gridCol w:w="1132"/>
        <w:gridCol w:w="1132"/>
        <w:gridCol w:w="1133"/>
        <w:gridCol w:w="1133"/>
        <w:gridCol w:w="1133"/>
        <w:gridCol w:w="1133"/>
      </w:tblGrid>
      <w:tr w:rsidR="00923A7B" w:rsidRPr="009778D5" w14:paraId="2BFD7E8D" w14:textId="77777777" w:rsidTr="009778D5">
        <w:tc>
          <w:tcPr>
            <w:tcW w:w="988" w:type="dxa"/>
            <w:vAlign w:val="center"/>
          </w:tcPr>
          <w:p w14:paraId="2887242C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38362E8" w14:textId="2E6AD706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Farve</w:t>
            </w:r>
          </w:p>
        </w:tc>
        <w:tc>
          <w:tcPr>
            <w:tcW w:w="1132" w:type="dxa"/>
            <w:vAlign w:val="center"/>
          </w:tcPr>
          <w:p w14:paraId="42763D97" w14:textId="401597DD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Stregfarve</w:t>
            </w:r>
          </w:p>
        </w:tc>
        <w:tc>
          <w:tcPr>
            <w:tcW w:w="1132" w:type="dxa"/>
            <w:vAlign w:val="center"/>
          </w:tcPr>
          <w:p w14:paraId="4D25A57E" w14:textId="3E80E91C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Spalteretning</w:t>
            </w:r>
          </w:p>
        </w:tc>
        <w:tc>
          <w:tcPr>
            <w:tcW w:w="1133" w:type="dxa"/>
            <w:vAlign w:val="center"/>
          </w:tcPr>
          <w:p w14:paraId="384AB23C" w14:textId="409574DD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Hårdhed</w:t>
            </w:r>
          </w:p>
        </w:tc>
        <w:tc>
          <w:tcPr>
            <w:tcW w:w="1133" w:type="dxa"/>
            <w:vAlign w:val="center"/>
          </w:tcPr>
          <w:p w14:paraId="24A46B02" w14:textId="4899B5BB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Andre karakteristika</w:t>
            </w:r>
          </w:p>
        </w:tc>
        <w:tc>
          <w:tcPr>
            <w:tcW w:w="1133" w:type="dxa"/>
            <w:vAlign w:val="center"/>
          </w:tcPr>
          <w:p w14:paraId="52AA02F1" w14:textId="392F915D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Mineralets navn</w:t>
            </w:r>
          </w:p>
        </w:tc>
        <w:tc>
          <w:tcPr>
            <w:tcW w:w="1133" w:type="dxa"/>
            <w:vAlign w:val="center"/>
          </w:tcPr>
          <w:p w14:paraId="5F3FC1DF" w14:textId="009270FF" w:rsidR="00923A7B" w:rsidRPr="009778D5" w:rsidRDefault="00546136" w:rsidP="009778D5">
            <w:pPr>
              <w:pStyle w:val="MainmainMAIN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Mineralgruppe</w:t>
            </w:r>
          </w:p>
        </w:tc>
      </w:tr>
      <w:tr w:rsidR="00923A7B" w:rsidRPr="009778D5" w14:paraId="73337524" w14:textId="77777777" w:rsidTr="009778D5">
        <w:tc>
          <w:tcPr>
            <w:tcW w:w="988" w:type="dxa"/>
          </w:tcPr>
          <w:p w14:paraId="36ECA856" w14:textId="0B23E242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1</w:t>
            </w:r>
          </w:p>
        </w:tc>
        <w:tc>
          <w:tcPr>
            <w:tcW w:w="1276" w:type="dxa"/>
          </w:tcPr>
          <w:p w14:paraId="3002BF2A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746C7284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7F721DFF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F5BD24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965F183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6EEE37E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59A1564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1200E881" w14:textId="77777777" w:rsidTr="009778D5">
        <w:tc>
          <w:tcPr>
            <w:tcW w:w="988" w:type="dxa"/>
          </w:tcPr>
          <w:p w14:paraId="1821E1CA" w14:textId="7CE0CF23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2</w:t>
            </w:r>
          </w:p>
        </w:tc>
        <w:tc>
          <w:tcPr>
            <w:tcW w:w="1276" w:type="dxa"/>
          </w:tcPr>
          <w:p w14:paraId="66DFB1A9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2EAF91D6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207A98BC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421D8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5742EA4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52E3EE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30823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7C003843" w14:textId="77777777" w:rsidTr="009778D5">
        <w:tc>
          <w:tcPr>
            <w:tcW w:w="988" w:type="dxa"/>
          </w:tcPr>
          <w:p w14:paraId="47E452E3" w14:textId="470F5D42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3</w:t>
            </w:r>
          </w:p>
        </w:tc>
        <w:tc>
          <w:tcPr>
            <w:tcW w:w="1276" w:type="dxa"/>
          </w:tcPr>
          <w:p w14:paraId="1D4CA6E2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20AAEC78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583E6C31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DC98145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711C5D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C5A15FF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0A94EE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6C2243E7" w14:textId="77777777" w:rsidTr="009778D5">
        <w:tc>
          <w:tcPr>
            <w:tcW w:w="988" w:type="dxa"/>
          </w:tcPr>
          <w:p w14:paraId="2F7B5F52" w14:textId="2DF3D6EF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4</w:t>
            </w:r>
          </w:p>
        </w:tc>
        <w:tc>
          <w:tcPr>
            <w:tcW w:w="1276" w:type="dxa"/>
          </w:tcPr>
          <w:p w14:paraId="2B04A5B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C56C1B6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57524798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918264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B43E696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6F1BB12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2A26C51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38C0D6B1" w14:textId="77777777" w:rsidTr="009778D5">
        <w:tc>
          <w:tcPr>
            <w:tcW w:w="988" w:type="dxa"/>
          </w:tcPr>
          <w:p w14:paraId="7993E502" w14:textId="130A5E38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5</w:t>
            </w:r>
          </w:p>
        </w:tc>
        <w:tc>
          <w:tcPr>
            <w:tcW w:w="1276" w:type="dxa"/>
          </w:tcPr>
          <w:p w14:paraId="39C573BD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6F5F6C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0509C17C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06F90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2D4C606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7BD9E6E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073E263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5EB33070" w14:textId="77777777" w:rsidTr="009778D5">
        <w:tc>
          <w:tcPr>
            <w:tcW w:w="988" w:type="dxa"/>
          </w:tcPr>
          <w:p w14:paraId="58F91F43" w14:textId="7A401E69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6</w:t>
            </w:r>
          </w:p>
        </w:tc>
        <w:tc>
          <w:tcPr>
            <w:tcW w:w="1276" w:type="dxa"/>
          </w:tcPr>
          <w:p w14:paraId="68313ACF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43A9FF80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BBBA558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8C304A0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953815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3953BD2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24B7FD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3A7B" w:rsidRPr="009778D5" w14:paraId="1A2869A0" w14:textId="77777777" w:rsidTr="009778D5">
        <w:tc>
          <w:tcPr>
            <w:tcW w:w="988" w:type="dxa"/>
          </w:tcPr>
          <w:p w14:paraId="1B561620" w14:textId="75B150BB" w:rsidR="00923A7B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7</w:t>
            </w:r>
          </w:p>
        </w:tc>
        <w:tc>
          <w:tcPr>
            <w:tcW w:w="1276" w:type="dxa"/>
          </w:tcPr>
          <w:p w14:paraId="509B9082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7B039E9E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54E919F8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9621A1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394CB7E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E4F8ED9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D27C7CB" w14:textId="77777777" w:rsidR="00923A7B" w:rsidRPr="009778D5" w:rsidRDefault="00923A7B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136" w:rsidRPr="009778D5" w14:paraId="06924D9D" w14:textId="77777777" w:rsidTr="009778D5">
        <w:tc>
          <w:tcPr>
            <w:tcW w:w="988" w:type="dxa"/>
          </w:tcPr>
          <w:p w14:paraId="750A2193" w14:textId="7304E1E2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8</w:t>
            </w:r>
          </w:p>
        </w:tc>
        <w:tc>
          <w:tcPr>
            <w:tcW w:w="1276" w:type="dxa"/>
          </w:tcPr>
          <w:p w14:paraId="20B6F207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256FB70F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49CE7CFC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DB4C7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A2CF8FA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5881FC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7F815C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136" w:rsidRPr="009778D5" w14:paraId="7BEE9251" w14:textId="77777777" w:rsidTr="009778D5">
        <w:tc>
          <w:tcPr>
            <w:tcW w:w="988" w:type="dxa"/>
          </w:tcPr>
          <w:p w14:paraId="4F87CC03" w14:textId="166DB1DC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9</w:t>
            </w:r>
          </w:p>
        </w:tc>
        <w:tc>
          <w:tcPr>
            <w:tcW w:w="1276" w:type="dxa"/>
          </w:tcPr>
          <w:p w14:paraId="27AA772B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51AA6B8F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11ED3CF8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48BEC6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CB931C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D78991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5C544D7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136" w:rsidRPr="009778D5" w14:paraId="39EAE371" w14:textId="77777777" w:rsidTr="009778D5">
        <w:tc>
          <w:tcPr>
            <w:tcW w:w="988" w:type="dxa"/>
          </w:tcPr>
          <w:p w14:paraId="18A10535" w14:textId="61FD5072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10</w:t>
            </w:r>
          </w:p>
        </w:tc>
        <w:tc>
          <w:tcPr>
            <w:tcW w:w="1276" w:type="dxa"/>
          </w:tcPr>
          <w:p w14:paraId="745189A8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771AF634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064129D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2AF643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D365163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DD3649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C783089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136" w:rsidRPr="009778D5" w14:paraId="3CE7BA72" w14:textId="77777777" w:rsidTr="009778D5">
        <w:tc>
          <w:tcPr>
            <w:tcW w:w="988" w:type="dxa"/>
          </w:tcPr>
          <w:p w14:paraId="7DEC8324" w14:textId="71ECD76D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11</w:t>
            </w:r>
          </w:p>
        </w:tc>
        <w:tc>
          <w:tcPr>
            <w:tcW w:w="1276" w:type="dxa"/>
          </w:tcPr>
          <w:p w14:paraId="756FF097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626DBC13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26D52269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995D323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D1BA02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FD9C5D3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0872D75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136" w:rsidRPr="009778D5" w14:paraId="32205235" w14:textId="77777777" w:rsidTr="009778D5">
        <w:tc>
          <w:tcPr>
            <w:tcW w:w="988" w:type="dxa"/>
          </w:tcPr>
          <w:p w14:paraId="0DE2BA35" w14:textId="5501858C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  <w:r w:rsidRPr="009778D5">
              <w:rPr>
                <w:sz w:val="20"/>
                <w:szCs w:val="20"/>
              </w:rPr>
              <w:t>Mineral 12</w:t>
            </w:r>
          </w:p>
        </w:tc>
        <w:tc>
          <w:tcPr>
            <w:tcW w:w="1276" w:type="dxa"/>
          </w:tcPr>
          <w:p w14:paraId="4E0E3648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12453662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14:paraId="0444195C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38D8409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0F2E27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6A62B1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858CF94" w14:textId="77777777" w:rsidR="00546136" w:rsidRPr="009778D5" w:rsidRDefault="00546136" w:rsidP="009778D5">
            <w:pPr>
              <w:pStyle w:val="MainmainMAIN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2D72B2BE" w14:textId="5A31BFE4" w:rsidR="007B361C" w:rsidRDefault="007B361C" w:rsidP="009778D5">
      <w:pPr>
        <w:pStyle w:val="SubfigureSUB"/>
        <w:spacing w:before="60"/>
      </w:pPr>
      <w:r w:rsidRPr="00923A7B">
        <w:rPr>
          <w:color w:val="FF0000"/>
        </w:rPr>
        <w:t>Tabel 18-1</w:t>
      </w:r>
      <w:r w:rsidR="00923A7B" w:rsidRPr="00923A7B">
        <w:rPr>
          <w:color w:val="FF0000"/>
        </w:rPr>
        <w:t>.</w:t>
      </w:r>
      <w:r w:rsidRPr="00923A7B">
        <w:t xml:space="preserve">  Udfyldelse med data </w:t>
      </w:r>
      <w:r w:rsidR="005356B7">
        <w:t>til</w:t>
      </w:r>
      <w:r w:rsidRPr="00923A7B">
        <w:t xml:space="preserve"> bestemmelse af mineraler.</w:t>
      </w:r>
    </w:p>
    <w:p w14:paraId="243FF42C" w14:textId="77777777" w:rsidR="007B361C" w:rsidRDefault="007B361C" w:rsidP="007B361C">
      <w:pPr>
        <w:pStyle w:val="MainmainMAIN"/>
        <w:spacing w:after="0"/>
      </w:pPr>
      <w:r w:rsidRPr="007B361C">
        <w:t> </w:t>
      </w:r>
    </w:p>
    <w:p w14:paraId="44870AF5" w14:textId="56EF1535" w:rsidR="007B361C" w:rsidRDefault="007B361C" w:rsidP="009778D5">
      <w:pPr>
        <w:pStyle w:val="MainmainMAIN"/>
        <w:spacing w:after="60"/>
      </w:pPr>
      <w:r w:rsidRPr="007B361C">
        <w:rPr>
          <w:noProof/>
        </w:rPr>
        <w:lastRenderedPageBreak/>
        <w:drawing>
          <wp:inline distT="0" distB="0" distL="0" distR="0" wp14:anchorId="64C49ECF" wp14:editId="380DE537">
            <wp:extent cx="5040000" cy="4867200"/>
            <wp:effectExtent l="0" t="0" r="8255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8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C4414" w14:textId="4FD29178" w:rsidR="007B361C" w:rsidRDefault="007B361C" w:rsidP="00923A7B">
      <w:pPr>
        <w:pStyle w:val="SubfigureSUB"/>
      </w:pPr>
      <w:r w:rsidRPr="00923A7B">
        <w:rPr>
          <w:color w:val="FF0000"/>
        </w:rPr>
        <w:t>Figur 140</w:t>
      </w:r>
      <w:r w:rsidR="00923A7B" w:rsidRPr="00923A7B">
        <w:rPr>
          <w:color w:val="FF0000"/>
        </w:rPr>
        <w:t>.</w:t>
      </w:r>
      <w:r w:rsidRPr="00923A7B">
        <w:t xml:space="preserve"> 14 almindelige mineralers egenskaber. Af </w:t>
      </w:r>
      <w:proofErr w:type="spellStart"/>
      <w:r w:rsidRPr="00923A7B">
        <w:t>MiMa</w:t>
      </w:r>
      <w:proofErr w:type="spellEnd"/>
      <w:r w:rsidRPr="00923A7B">
        <w:t xml:space="preserve"> (2019). Mineralerne er udvalgt fordi de ofte findes i stensamlinger på skolerne. Data fra Johnsen </w:t>
      </w:r>
      <w:hyperlink r:id="rId12" w:history="1">
        <w:r w:rsidRPr="00923A7B">
          <w:t>(2000)</w:t>
        </w:r>
      </w:hyperlink>
      <w:r w:rsidRPr="00923A7B">
        <w:t>. </w:t>
      </w:r>
    </w:p>
    <w:p w14:paraId="508C7C65" w14:textId="77777777" w:rsidR="007B361C" w:rsidRDefault="007B361C" w:rsidP="00923A7B">
      <w:pPr>
        <w:pStyle w:val="SubfigureSUB"/>
      </w:pPr>
      <w:r w:rsidRPr="00923A7B">
        <w:t> </w:t>
      </w:r>
    </w:p>
    <w:p w14:paraId="388D1352" w14:textId="77777777" w:rsidR="007B361C" w:rsidRPr="007B361C" w:rsidRDefault="007B361C" w:rsidP="007B361C">
      <w:pPr>
        <w:pStyle w:val="MainmainMAIN"/>
        <w:spacing w:after="0"/>
      </w:pPr>
      <w:r>
        <w:br/>
      </w:r>
      <w:r>
        <w:br/>
      </w:r>
    </w:p>
    <w:p w14:paraId="172B0875" w14:textId="50EEA8C1" w:rsidR="007B361C" w:rsidRDefault="007B361C" w:rsidP="009778D5">
      <w:pPr>
        <w:pStyle w:val="MainmainMAIN"/>
        <w:spacing w:after="60"/>
      </w:pPr>
      <w:r w:rsidRPr="007B361C">
        <w:rPr>
          <w:noProof/>
        </w:rPr>
        <w:lastRenderedPageBreak/>
        <w:drawing>
          <wp:inline distT="0" distB="0" distL="0" distR="0" wp14:anchorId="660D451C" wp14:editId="6D4C72C4">
            <wp:extent cx="5004000" cy="4075200"/>
            <wp:effectExtent l="0" t="0" r="6350" b="190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0" cy="40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037E9" w14:textId="26157E68" w:rsidR="007B361C" w:rsidRDefault="007B361C" w:rsidP="009778D5">
      <w:pPr>
        <w:pStyle w:val="SubfigureSUB"/>
      </w:pPr>
      <w:r w:rsidRPr="009778D5">
        <w:rPr>
          <w:color w:val="FF0000"/>
        </w:rPr>
        <w:t>Figur 138</w:t>
      </w:r>
      <w:r w:rsidR="009778D5" w:rsidRPr="009778D5">
        <w:rPr>
          <w:color w:val="FF0000"/>
        </w:rPr>
        <w:t>.</w:t>
      </w:r>
      <w:r w:rsidRPr="009778D5">
        <w:t xml:space="preserve"> Klassifikation af mineraler. Af </w:t>
      </w:r>
      <w:proofErr w:type="spellStart"/>
      <w:r w:rsidRPr="009778D5">
        <w:t>MiMa</w:t>
      </w:r>
      <w:proofErr w:type="spellEnd"/>
      <w:r w:rsidRPr="009778D5">
        <w:t xml:space="preserve"> (2019). </w:t>
      </w:r>
    </w:p>
    <w:p w14:paraId="629DC374" w14:textId="0008B801" w:rsidR="007B361C" w:rsidRDefault="007B361C" w:rsidP="007B361C">
      <w:pPr>
        <w:pStyle w:val="MainmainMAIN"/>
        <w:spacing w:after="0"/>
      </w:pPr>
    </w:p>
    <w:p w14:paraId="72E7714B" w14:textId="6987BE46" w:rsidR="009778D5" w:rsidRDefault="009778D5" w:rsidP="007B361C">
      <w:pPr>
        <w:pStyle w:val="MainmainMAIN"/>
        <w:spacing w:after="0"/>
      </w:pPr>
      <w:r w:rsidRPr="007B361C">
        <w:rPr>
          <w:noProof/>
        </w:rPr>
        <w:drawing>
          <wp:inline distT="0" distB="0" distL="0" distR="0" wp14:anchorId="179B8150" wp14:editId="0B30E1A0">
            <wp:extent cx="5004000" cy="2912400"/>
            <wp:effectExtent l="0" t="0" r="6350" b="254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000" cy="29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0AE5B" w14:textId="1B8C01BF" w:rsidR="00CD1D4C" w:rsidRDefault="007B361C" w:rsidP="009E1F84">
      <w:pPr>
        <w:pStyle w:val="SubfigureSUB"/>
      </w:pPr>
      <w:r w:rsidRPr="009E1F84">
        <w:rPr>
          <w:color w:val="FF0000"/>
        </w:rPr>
        <w:t xml:space="preserve">Figur </w:t>
      </w:r>
      <w:r w:rsidR="009E1F84" w:rsidRPr="009E1F84">
        <w:rPr>
          <w:color w:val="FF0000"/>
        </w:rPr>
        <w:t>18-1.</w:t>
      </w:r>
      <w:r w:rsidRPr="009778D5">
        <w:t xml:space="preserve"> Dette skema bruges i Grønland, så folk der går i fjeldet kan finde ud af, hvilke mineraler de finder. I Grønland er der hvert år en ‘mineraljagt’ (</w:t>
      </w:r>
      <w:proofErr w:type="spellStart"/>
      <w:r w:rsidRPr="009778D5">
        <w:t>Ujarassiorit</w:t>
      </w:r>
      <w:proofErr w:type="spellEnd"/>
      <w:r w:rsidRPr="009778D5">
        <w:t xml:space="preserve">), hvor indsendte prøver bliver præmieret hvis geologerne skønner at de er særligt interessante. </w:t>
      </w:r>
      <w:hyperlink r:id="rId15" w:history="1">
        <w:r w:rsidR="00DC5F89" w:rsidRPr="00F47EA6">
          <w:rPr>
            <w:rStyle w:val="Hyperlink"/>
          </w:rPr>
          <w:t>http://www.ujarassiorit.gl/images/stories/pdf/mineral_identifikation.pdf</w:t>
        </w:r>
      </w:hyperlink>
      <w:r w:rsidR="00DC5F89">
        <w:t xml:space="preserve"> </w:t>
      </w:r>
    </w:p>
    <w:p w14:paraId="1F1CBE4E" w14:textId="6BD064C4" w:rsidR="00E1403A" w:rsidRPr="00DC5F89" w:rsidRDefault="00E1403A" w:rsidP="00E1403A">
      <w:pPr>
        <w:pStyle w:val="Overskrift2"/>
        <w:numPr>
          <w:ilvl w:val="0"/>
          <w:numId w:val="0"/>
        </w:numPr>
      </w:pPr>
      <w:r w:rsidRPr="00DC5F89">
        <w:lastRenderedPageBreak/>
        <w:t>Referencer</w:t>
      </w:r>
    </w:p>
    <w:p w14:paraId="7FB2581A" w14:textId="4D0AA882" w:rsidR="00AB643B" w:rsidRPr="00BD5A80" w:rsidRDefault="00DC5F89" w:rsidP="00DC5F89">
      <w:pPr>
        <w:pStyle w:val="MainmainMAIN"/>
        <w:rPr>
          <w:lang w:val="en-US"/>
        </w:rPr>
      </w:pPr>
      <w:r>
        <w:t xml:space="preserve">Johnsen, O. (2000). </w:t>
      </w:r>
      <w:r>
        <w:rPr>
          <w:rStyle w:val="Italic"/>
        </w:rPr>
        <w:t>Mineralernes verden</w:t>
      </w:r>
      <w:r>
        <w:t xml:space="preserve">. </w:t>
      </w:r>
      <w:r w:rsidRPr="00DC5F89">
        <w:rPr>
          <w:lang w:val="en-US"/>
        </w:rPr>
        <w:t>Gyldendal A/S.</w:t>
      </w:r>
    </w:p>
    <w:p w14:paraId="201DA71F" w14:textId="16C41C23" w:rsidR="00F26EA6" w:rsidRPr="00BD5A80" w:rsidRDefault="00F26EA6" w:rsidP="00F26EA6">
      <w:pPr>
        <w:tabs>
          <w:tab w:val="left" w:pos="3223"/>
        </w:tabs>
        <w:rPr>
          <w:lang w:val="en-US"/>
        </w:rPr>
      </w:pPr>
    </w:p>
    <w:sectPr w:rsidR="00F26EA6" w:rsidRPr="00BD5A80" w:rsidSect="0000397E">
      <w:headerReference w:type="default" r:id="rId16"/>
      <w:footerReference w:type="even" r:id="rId17"/>
      <w:footerReference w:type="default" r:id="rId18"/>
      <w:headerReference w:type="first" r:id="rId19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5C258" w14:textId="77777777" w:rsidR="00473ACA" w:rsidRDefault="00473ACA">
      <w:r>
        <w:separator/>
      </w:r>
    </w:p>
  </w:endnote>
  <w:endnote w:type="continuationSeparator" w:id="0">
    <w:p w14:paraId="4A4F3F25" w14:textId="77777777" w:rsidR="00473ACA" w:rsidRDefault="0047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A1281" w14:textId="77777777" w:rsidR="00473ACA" w:rsidRDefault="00473ACA">
      <w:r>
        <w:separator/>
      </w:r>
    </w:p>
  </w:footnote>
  <w:footnote w:type="continuationSeparator" w:id="0">
    <w:p w14:paraId="61BA0356" w14:textId="77777777" w:rsidR="00473ACA" w:rsidRDefault="00473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1A9742BA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7B361C">
      <w:rPr>
        <w:rFonts w:ascii="KievitPro-Regular" w:hAnsi="KievitPro-Regular"/>
        <w:color w:val="000000"/>
        <w:sz w:val="18"/>
        <w:szCs w:val="18"/>
      </w:rPr>
      <w:t>18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848B156"/>
    <w:lvl w:ilvl="0">
      <w:start w:val="18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20946"/>
    <w:multiLevelType w:val="hybridMultilevel"/>
    <w:tmpl w:val="62DAB4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6FB8"/>
    <w:multiLevelType w:val="hybridMultilevel"/>
    <w:tmpl w:val="84147DE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9A05B0"/>
    <w:multiLevelType w:val="hybridMultilevel"/>
    <w:tmpl w:val="B9DCAF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AB01E4"/>
    <w:multiLevelType w:val="multilevel"/>
    <w:tmpl w:val="7C34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5"/>
  </w:num>
  <w:num w:numId="5">
    <w:abstractNumId w:val="13"/>
  </w:num>
  <w:num w:numId="6">
    <w:abstractNumId w:val="7"/>
  </w:num>
  <w:num w:numId="7">
    <w:abstractNumId w:val="11"/>
  </w:num>
  <w:num w:numId="8">
    <w:abstractNumId w:val="8"/>
  </w:num>
  <w:num w:numId="9">
    <w:abstractNumId w:val="3"/>
  </w:num>
  <w:num w:numId="10">
    <w:abstractNumId w:val="16"/>
  </w:num>
  <w:num w:numId="11">
    <w:abstractNumId w:val="12"/>
  </w:num>
  <w:num w:numId="12">
    <w:abstractNumId w:val="9"/>
  </w:num>
  <w:num w:numId="13">
    <w:abstractNumId w:val="0"/>
  </w:num>
  <w:num w:numId="14">
    <w:abstractNumId w:val="1"/>
  </w:num>
  <w:num w:numId="15">
    <w:abstractNumId w:val="0"/>
  </w:num>
  <w:num w:numId="16">
    <w:abstractNumId w:val="17"/>
  </w:num>
  <w:num w:numId="17">
    <w:abstractNumId w:val="10"/>
  </w:num>
  <w:num w:numId="18">
    <w:abstractNumId w:val="0"/>
  </w:num>
  <w:num w:numId="19">
    <w:abstractNumId w:val="2"/>
  </w:num>
  <w:num w:numId="20">
    <w:abstractNumId w:val="0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0397E"/>
    <w:rsid w:val="000A5BD5"/>
    <w:rsid w:val="000B7ACD"/>
    <w:rsid w:val="00106540"/>
    <w:rsid w:val="00172E37"/>
    <w:rsid w:val="00176155"/>
    <w:rsid w:val="00180FED"/>
    <w:rsid w:val="00185784"/>
    <w:rsid w:val="001A6822"/>
    <w:rsid w:val="001B0C5F"/>
    <w:rsid w:val="001C0452"/>
    <w:rsid w:val="001E4E71"/>
    <w:rsid w:val="001F72B4"/>
    <w:rsid w:val="00220D26"/>
    <w:rsid w:val="00225BA7"/>
    <w:rsid w:val="00232168"/>
    <w:rsid w:val="00234AE2"/>
    <w:rsid w:val="00241695"/>
    <w:rsid w:val="002725C7"/>
    <w:rsid w:val="0027446C"/>
    <w:rsid w:val="002C7CB9"/>
    <w:rsid w:val="00322C4B"/>
    <w:rsid w:val="003271F5"/>
    <w:rsid w:val="00340EE2"/>
    <w:rsid w:val="00347F03"/>
    <w:rsid w:val="003E130A"/>
    <w:rsid w:val="00413567"/>
    <w:rsid w:val="00454D4A"/>
    <w:rsid w:val="0046481C"/>
    <w:rsid w:val="00473ACA"/>
    <w:rsid w:val="00487BDA"/>
    <w:rsid w:val="0049282C"/>
    <w:rsid w:val="00496CE0"/>
    <w:rsid w:val="004A12CA"/>
    <w:rsid w:val="004B0D9D"/>
    <w:rsid w:val="004B6F34"/>
    <w:rsid w:val="005356B7"/>
    <w:rsid w:val="00546136"/>
    <w:rsid w:val="00563BB3"/>
    <w:rsid w:val="00582BD9"/>
    <w:rsid w:val="005C6A25"/>
    <w:rsid w:val="006028EF"/>
    <w:rsid w:val="006A1455"/>
    <w:rsid w:val="006A549A"/>
    <w:rsid w:val="006D68CC"/>
    <w:rsid w:val="006E6D0E"/>
    <w:rsid w:val="0070090A"/>
    <w:rsid w:val="00735EC7"/>
    <w:rsid w:val="007500A1"/>
    <w:rsid w:val="007737BA"/>
    <w:rsid w:val="00792A55"/>
    <w:rsid w:val="007A0875"/>
    <w:rsid w:val="007B361C"/>
    <w:rsid w:val="007F041D"/>
    <w:rsid w:val="0080258C"/>
    <w:rsid w:val="00825068"/>
    <w:rsid w:val="00832605"/>
    <w:rsid w:val="00864FE9"/>
    <w:rsid w:val="00866CD7"/>
    <w:rsid w:val="0087237B"/>
    <w:rsid w:val="008B5400"/>
    <w:rsid w:val="008C7AB9"/>
    <w:rsid w:val="008D6336"/>
    <w:rsid w:val="008D76CB"/>
    <w:rsid w:val="008F0809"/>
    <w:rsid w:val="009100C3"/>
    <w:rsid w:val="00922C5F"/>
    <w:rsid w:val="00923A7B"/>
    <w:rsid w:val="00940432"/>
    <w:rsid w:val="00942347"/>
    <w:rsid w:val="009726A5"/>
    <w:rsid w:val="009778D5"/>
    <w:rsid w:val="00987097"/>
    <w:rsid w:val="009B6F0A"/>
    <w:rsid w:val="009C1298"/>
    <w:rsid w:val="009E1F84"/>
    <w:rsid w:val="009F7060"/>
    <w:rsid w:val="00A038F3"/>
    <w:rsid w:val="00A3043D"/>
    <w:rsid w:val="00A5447D"/>
    <w:rsid w:val="00A70016"/>
    <w:rsid w:val="00A95E18"/>
    <w:rsid w:val="00AB643B"/>
    <w:rsid w:val="00AD5E2A"/>
    <w:rsid w:val="00AD69D5"/>
    <w:rsid w:val="00B2209A"/>
    <w:rsid w:val="00B27704"/>
    <w:rsid w:val="00B36857"/>
    <w:rsid w:val="00B918EA"/>
    <w:rsid w:val="00BA0D9E"/>
    <w:rsid w:val="00BC67D4"/>
    <w:rsid w:val="00BD45A4"/>
    <w:rsid w:val="00BD5A80"/>
    <w:rsid w:val="00BF58C8"/>
    <w:rsid w:val="00C0269E"/>
    <w:rsid w:val="00C31882"/>
    <w:rsid w:val="00C57EAA"/>
    <w:rsid w:val="00C67C1F"/>
    <w:rsid w:val="00C93BA7"/>
    <w:rsid w:val="00CD1D4C"/>
    <w:rsid w:val="00CE6FC5"/>
    <w:rsid w:val="00D43F8A"/>
    <w:rsid w:val="00D44852"/>
    <w:rsid w:val="00D85BF3"/>
    <w:rsid w:val="00DA0E0B"/>
    <w:rsid w:val="00DC5F89"/>
    <w:rsid w:val="00DE6FC2"/>
    <w:rsid w:val="00E01604"/>
    <w:rsid w:val="00E135E4"/>
    <w:rsid w:val="00E1403A"/>
    <w:rsid w:val="00E253AF"/>
    <w:rsid w:val="00E37668"/>
    <w:rsid w:val="00E6775E"/>
    <w:rsid w:val="00E82558"/>
    <w:rsid w:val="00F107BF"/>
    <w:rsid w:val="00F26EA6"/>
    <w:rsid w:val="00F5422A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  <w:style w:type="table" w:styleId="Tabel-Gitter">
    <w:name w:val="Table Grid"/>
    <w:basedOn w:val="Tabel-Normal"/>
    <w:rsid w:val="0092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aperpile.com/c/ywZDX5/QtlRP/?noauthor=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ujarassiorit.gl/images/stories/pdf/mineral_identifikation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B8A47E-D706-49B4-8A59-FC2C1F7029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413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112</cp:revision>
  <cp:lastPrinted>2020-04-23T14:14:00Z</cp:lastPrinted>
  <dcterms:created xsi:type="dcterms:W3CDTF">2020-04-23T13:28:00Z</dcterms:created>
  <dcterms:modified xsi:type="dcterms:W3CDTF">2020-08-04T12:14:00Z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